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6" w:firstLineChars="150"/>
        <w:rPr>
          <w:rFonts w:hint="eastAsia" w:ascii="宋体" w:hAnsi="宋体"/>
          <w:b/>
          <w:bCs/>
          <w:color w:val="FF0000"/>
          <w:spacing w:val="51"/>
          <w:kern w:val="0"/>
          <w:sz w:val="48"/>
          <w:szCs w:val="48"/>
          <w:u w:val="thick"/>
        </w:rPr>
      </w:pPr>
    </w:p>
    <w:p>
      <w:pPr>
        <w:ind w:firstLine="876" w:firstLineChars="150"/>
        <w:rPr>
          <w:rFonts w:ascii="宋体"/>
          <w:b/>
          <w:bCs/>
          <w:color w:val="FF0000"/>
          <w:sz w:val="48"/>
          <w:szCs w:val="48"/>
          <w:u w:val="single"/>
        </w:rPr>
      </w:pPr>
      <w:r>
        <w:rPr>
          <w:rFonts w:hint="eastAsia" w:ascii="宋体" w:hAnsi="宋体"/>
          <w:b/>
          <w:bCs/>
          <w:color w:val="FF0000"/>
          <w:spacing w:val="51"/>
          <w:kern w:val="0"/>
          <w:sz w:val="48"/>
          <w:szCs w:val="48"/>
          <w:u w:val="thick"/>
        </w:rPr>
        <w:t>天津市诚铭人力资源服务有限公</w:t>
      </w:r>
      <w:r>
        <w:rPr>
          <w:rFonts w:hint="eastAsia" w:ascii="宋体" w:hAnsi="宋体"/>
          <w:b/>
          <w:bCs/>
          <w:color w:val="FF0000"/>
          <w:spacing w:val="10"/>
          <w:kern w:val="0"/>
          <w:sz w:val="48"/>
          <w:szCs w:val="48"/>
          <w:u w:val="thick"/>
        </w:rPr>
        <w:t>司</w:t>
      </w:r>
    </w:p>
    <w:p>
      <w:pPr>
        <w:spacing w:line="520" w:lineRule="exact"/>
        <w:jc w:val="center"/>
        <w:rPr>
          <w:rFonts w:ascii="???????" w:eastAsia="Times New Roman"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举办2020届毕业生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国资、优质企业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专场网上招聘会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的通知</w:t>
      </w:r>
    </w:p>
    <w:p>
      <w:pPr>
        <w:spacing w:line="480" w:lineRule="auto"/>
        <w:ind w:right="565" w:rightChars="269"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天津商业大学</w:t>
      </w:r>
      <w:r>
        <w:rPr>
          <w:rFonts w:hint="eastAsia" w:ascii="仿宋_GB2312" w:hAnsi="仿宋_GB2312" w:eastAsia="仿宋_GB2312" w:cs="仿宋_GB2312"/>
          <w:sz w:val="28"/>
          <w:szCs w:val="28"/>
        </w:rPr>
        <w:t>就业指导中心：</w:t>
      </w:r>
    </w:p>
    <w:p>
      <w:pPr>
        <w:ind w:left="559" w:leftChars="266"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天津市诚铭人力资源服务有限公司于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在贵校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举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办首场2020届毕业生国有、优质企业专场网上招聘会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auto"/>
        <w:ind w:left="638" w:leftChars="304" w:right="565" w:rightChars="269"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贵校协助组织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应届生按照企业招聘简章及招聘岗位所需专业，扫码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投递电子简历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关注中天诚铭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人才服务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电子招聘平台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。实现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招聘企业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和应聘毕业生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在中天诚铭招聘平台直接对接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双向选择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。 </w:t>
      </w:r>
    </w:p>
    <w:p>
      <w:pPr>
        <w:spacing w:line="480" w:lineRule="auto"/>
        <w:ind w:firstLine="1120" w:firstLineChars="4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我们将积极为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为企业筛选、输送优秀人才。 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附件：《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天津商业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届毕业生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网上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企业岗位信息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</w:p>
    <w:p>
      <w:pPr>
        <w:spacing w:line="480" w:lineRule="auto"/>
        <w:ind w:right="565" w:rightChars="269"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联系我们： </w:t>
      </w:r>
    </w:p>
    <w:p>
      <w:pPr>
        <w:spacing w:line="480" w:lineRule="auto"/>
        <w:ind w:right="565" w:rightChars="269"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公众号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诚铭人才资讯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auto"/>
        <w:ind w:right="565" w:rightChars="269"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公众服务号：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中天诚铭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人才服务（招聘平台）</w:t>
      </w:r>
    </w:p>
    <w:p>
      <w:pPr>
        <w:spacing w:line="480" w:lineRule="auto"/>
        <w:ind w:right="565" w:rightChars="269" w:firstLine="1280" w:firstLineChars="4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auto"/>
        <w:ind w:right="565" w:rightChars="269"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邮箱: </w:t>
      </w:r>
      <w:r>
        <w:rPr>
          <w:rFonts w:hint="eastAsia" w:ascii="仿宋_GB2312" w:hAnsi="仿宋_GB2312" w:eastAsia="仿宋_GB2312" w:cs="仿宋_GB2312"/>
          <w:b w:val="0"/>
          <w:bCs w:val="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</w:rPr>
        <w:instrText xml:space="preserve"> HYPERLINK "mailto:cmhr2015@163.com" </w:instrText>
      </w:r>
      <w:r>
        <w:rPr>
          <w:rFonts w:hint="eastAsia" w:ascii="仿宋_GB2312" w:hAnsi="仿宋_GB2312" w:eastAsia="仿宋_GB2312" w:cs="仿宋_GB2312"/>
          <w:b w:val="0"/>
          <w:bCs w:val="0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cmzp2015@126.com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微信号: ChengmingHR201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</w:p>
    <w:p>
      <w:pPr>
        <w:spacing w:line="480" w:lineRule="auto"/>
        <w:ind w:right="565" w:rightChars="269" w:firstLine="1280" w:firstLineChars="4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022-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60965568 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15692291279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638175" cy="638175"/>
            <wp:effectExtent l="0" t="0" r="9525" b="9525"/>
            <wp:docPr id="2" name="图片 1" descr="8b14e79347103953b147436e8dc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b14e79347103953b147436e8dc21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right="565" w:rightChars="269" w:firstLine="1120" w:firstLineChars="4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80" w:lineRule="auto"/>
        <w:ind w:firstLine="4620" w:firstLineChars="2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29845</wp:posOffset>
                </wp:positionV>
                <wp:extent cx="1237615" cy="304800"/>
                <wp:effectExtent l="0" t="0" r="0" b="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13.45pt;margin-top:2.35pt;height:24pt;width:97.45pt;z-index:251660288;mso-width-relative:page;mso-height-relative:page;" filled="f" stroked="f" coordsize="21600,21600" o:gfxdata="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y4b5q2gAAAAkBAAAPAAAAAAAAAAEAIAAAACIA&#10;AABkcnMvZG93bnJldi54bWxQSwECFAAUAAAACACHTuJADaOQX5UBAAAJAwAADgAAAAAAAAABACAA&#10;AAApAQAAZHJzL2Uyb0RvYy54bWxQSwUGAAAAAAYABgBZAQAAM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天津市诚铭人力资源服务有限公司</w:t>
      </w:r>
    </w:p>
    <w:p>
      <w:pPr>
        <w:ind w:right="560"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right="560"/>
        <w:rPr>
          <w:rFonts w:ascii="宋体" w:cs="宋体"/>
          <w:sz w:val="32"/>
          <w:szCs w:val="32"/>
        </w:rPr>
      </w:pPr>
    </w:p>
    <w:p>
      <w:pPr>
        <w:ind w:right="560" w:firstLine="4800" w:firstLineChars="1500"/>
        <w:rPr>
          <w:rFonts w:ascii="宋体" w:cs="宋体"/>
          <w:sz w:val="32"/>
          <w:szCs w:val="32"/>
        </w:rPr>
      </w:pPr>
    </w:p>
    <w:p>
      <w:pPr>
        <w:ind w:right="560" w:firstLine="4800" w:firstLineChars="1500"/>
        <w:rPr>
          <w:rFonts w:ascii="宋体" w:cs="宋体"/>
          <w:sz w:val="32"/>
          <w:szCs w:val="32"/>
        </w:rPr>
      </w:pPr>
    </w:p>
    <w:tbl>
      <w:tblPr>
        <w:tblStyle w:val="3"/>
        <w:tblW w:w="11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260"/>
        <w:gridCol w:w="2920"/>
        <w:gridCol w:w="3100"/>
        <w:gridCol w:w="2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天津商业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大学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届毕业生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校园网络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招聘企业岗位信息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天津能源投资集团有限公司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>会计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>、审计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>、财务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  <w:lang w:eastAsia="zh-CN"/>
              </w:rPr>
              <w:t>管理、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>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  <w:lang w:eastAsia="zh-CN"/>
              </w:rPr>
              <w:t>马克思主义、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>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  <w:lang w:eastAsia="zh-CN"/>
              </w:rPr>
              <w:t>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>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  <w:lang w:eastAsia="zh-CN"/>
              </w:rPr>
              <w:t>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  <w:t>等相关专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position w:val="0"/>
                <w:sz w:val="22"/>
                <w:szCs w:val="22"/>
                <w:shd w:val="clear" w:fill="auto"/>
                <w:lang w:eastAsia="zh-CN"/>
              </w:rPr>
              <w:t>业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会计、审计、党务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天津市建工工程总承包有限公司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工程管理及相关专业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工程管理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天津市环欧半导体材料技术有限公司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43434"/>
                <w:kern w:val="0"/>
                <w:sz w:val="22"/>
                <w:szCs w:val="22"/>
                <w:lang w:val="en-US" w:eastAsia="zh-CN" w:bidi="ar"/>
              </w:rPr>
              <w:t>人力资源管理、行政管理、财务管理经济、工商管理、审 计、法律、英语、日语、计算机、软件工程等相关专业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工程管理、管理培训生、产品检验、生产技术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天津纺织集团进出口股份有限公司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思想政治学、政治学与行政学、管理学、工商管理等相关专业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外贸业务员、党务、行政专员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天津中新药业集团股份有限公司乐仁堂制药厂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机械制造设计及其电气自动化、自动化、自动化控制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设备管理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技术岗位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华西证券股份有限公司天津友谊路证券营业部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金融、证券等相关专业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渠道经理、投资顾问、理财顾问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天津市环智新能源技术有限公司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相关专业、文科类、理科类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管理培训生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技术岗位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新武精密机械（天津）有限公司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工程管理、行政管理、工商管理等相关专业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管理部总务、零件管理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天津利达粮油有限公司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食品工程、食品科学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食品加工技术岗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天津瑞驰企业管理咨询有限公司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444444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人力资源管理，计算机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店长，管培生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面议，4000-6000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中汽（天津）系统工程有限公司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机械制造设计及其自动化、自动化、安全管理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设备管理、工艺员、安全管理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华熙生物科技（天津）有限公司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设计及其自动化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、电气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环境工程、物流工程等相关专业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环境工程师，安全工程师，质量工程师，工艺工程师，物流工程师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4500-6600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4000-6000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五险一金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天津信誉楼百货有限公司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人力资源管理，计算机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店长，管培生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面议，4000-6000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天津市诚铭人力资源服务有限公司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人力资源、市场营销、工商管理、行政管理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人力专员、销售、办公文员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面议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五险一金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820" w:right="846" w:bottom="278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84E9B"/>
    <w:rsid w:val="00181E16"/>
    <w:rsid w:val="003349B9"/>
    <w:rsid w:val="00AD60E0"/>
    <w:rsid w:val="00BC3568"/>
    <w:rsid w:val="00C40813"/>
    <w:rsid w:val="00E13712"/>
    <w:rsid w:val="00E32565"/>
    <w:rsid w:val="01DB35A7"/>
    <w:rsid w:val="0221745B"/>
    <w:rsid w:val="0437594C"/>
    <w:rsid w:val="06ED33C9"/>
    <w:rsid w:val="07677964"/>
    <w:rsid w:val="08241E43"/>
    <w:rsid w:val="089C2AC5"/>
    <w:rsid w:val="0AE30D72"/>
    <w:rsid w:val="0B221669"/>
    <w:rsid w:val="0EDF3882"/>
    <w:rsid w:val="1073061A"/>
    <w:rsid w:val="11204FF2"/>
    <w:rsid w:val="120E4EF3"/>
    <w:rsid w:val="12C50222"/>
    <w:rsid w:val="14782072"/>
    <w:rsid w:val="159D41CC"/>
    <w:rsid w:val="15C510F4"/>
    <w:rsid w:val="176D312F"/>
    <w:rsid w:val="195E4413"/>
    <w:rsid w:val="1AB3173C"/>
    <w:rsid w:val="1ACA7C5F"/>
    <w:rsid w:val="1B3B357D"/>
    <w:rsid w:val="1C071C1E"/>
    <w:rsid w:val="1CCD3A01"/>
    <w:rsid w:val="1DC119F1"/>
    <w:rsid w:val="1DFD5985"/>
    <w:rsid w:val="1F2C203C"/>
    <w:rsid w:val="23F30034"/>
    <w:rsid w:val="26545AB9"/>
    <w:rsid w:val="270926F2"/>
    <w:rsid w:val="296C4609"/>
    <w:rsid w:val="298B6A69"/>
    <w:rsid w:val="29D36130"/>
    <w:rsid w:val="2ABA55B7"/>
    <w:rsid w:val="2AC35713"/>
    <w:rsid w:val="2CC44775"/>
    <w:rsid w:val="2DB70922"/>
    <w:rsid w:val="2E0D30CA"/>
    <w:rsid w:val="30A74C2C"/>
    <w:rsid w:val="31BD3CFD"/>
    <w:rsid w:val="337423FB"/>
    <w:rsid w:val="33784E9B"/>
    <w:rsid w:val="346011E3"/>
    <w:rsid w:val="36315BFD"/>
    <w:rsid w:val="36980E33"/>
    <w:rsid w:val="369F2B6F"/>
    <w:rsid w:val="37A32E3A"/>
    <w:rsid w:val="3802283C"/>
    <w:rsid w:val="3B767F0E"/>
    <w:rsid w:val="3BEA0A34"/>
    <w:rsid w:val="3C4178D8"/>
    <w:rsid w:val="3E9D1FDE"/>
    <w:rsid w:val="3F5E521A"/>
    <w:rsid w:val="3FA35691"/>
    <w:rsid w:val="3FB17C1D"/>
    <w:rsid w:val="418A01A5"/>
    <w:rsid w:val="43F0194A"/>
    <w:rsid w:val="44186289"/>
    <w:rsid w:val="44BF5CA5"/>
    <w:rsid w:val="46977686"/>
    <w:rsid w:val="470223EA"/>
    <w:rsid w:val="4A3B4D06"/>
    <w:rsid w:val="4AE65CFC"/>
    <w:rsid w:val="4B362722"/>
    <w:rsid w:val="4C2858B2"/>
    <w:rsid w:val="4EBA69C9"/>
    <w:rsid w:val="4F82094B"/>
    <w:rsid w:val="5027609D"/>
    <w:rsid w:val="50F95A01"/>
    <w:rsid w:val="52080264"/>
    <w:rsid w:val="542D67DE"/>
    <w:rsid w:val="54922279"/>
    <w:rsid w:val="5656603C"/>
    <w:rsid w:val="578B2844"/>
    <w:rsid w:val="5A146581"/>
    <w:rsid w:val="5DCC7AD6"/>
    <w:rsid w:val="5DFD661A"/>
    <w:rsid w:val="5EF1167C"/>
    <w:rsid w:val="5F90196D"/>
    <w:rsid w:val="61CD12EB"/>
    <w:rsid w:val="63A340C2"/>
    <w:rsid w:val="640B293D"/>
    <w:rsid w:val="64972E11"/>
    <w:rsid w:val="64DE35C2"/>
    <w:rsid w:val="65FE0E50"/>
    <w:rsid w:val="67116DD6"/>
    <w:rsid w:val="6AFF40EE"/>
    <w:rsid w:val="6BC41DC1"/>
    <w:rsid w:val="6C836345"/>
    <w:rsid w:val="6CFE666A"/>
    <w:rsid w:val="6EAF0199"/>
    <w:rsid w:val="6ED53A00"/>
    <w:rsid w:val="6FFF19F4"/>
    <w:rsid w:val="70005A5B"/>
    <w:rsid w:val="7025005D"/>
    <w:rsid w:val="71151B95"/>
    <w:rsid w:val="711E040C"/>
    <w:rsid w:val="721E7153"/>
    <w:rsid w:val="74D0000A"/>
    <w:rsid w:val="752B6586"/>
    <w:rsid w:val="75BB2787"/>
    <w:rsid w:val="77696862"/>
    <w:rsid w:val="79730D2B"/>
    <w:rsid w:val="7ACD436E"/>
    <w:rsid w:val="7C2E2149"/>
    <w:rsid w:val="7D2F227C"/>
    <w:rsid w:val="7EB73E98"/>
    <w:rsid w:val="7F237073"/>
    <w:rsid w:val="7F5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locked/>
    <w:uiPriority w:val="0"/>
    <w:rPr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font51"/>
    <w:basedOn w:val="4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245</Words>
  <Characters>1399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2017-11-28T09:07:00Z</dcterms:created>
  <dc:creator>李玉鑫</dc:creator>
  <cp:lastModifiedBy>Administrator</cp:lastModifiedBy>
  <dcterms:modified xsi:type="dcterms:W3CDTF">2020-05-20T08:26:45Z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